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sz w:val="36"/>
          <w:szCs w:val="36"/>
        </w:rPr>
      </w:pPr>
      <w:r>
        <w:rPr>
          <w:rFonts w:hint="eastAsia" w:ascii="黑体" w:hAnsi="黑体" w:eastAsia="黑体"/>
          <w:bCs/>
          <w:sz w:val="36"/>
          <w:szCs w:val="36"/>
        </w:rPr>
        <w:t>关于召开《2023 GAS音频技术峰会——新技术、新应用、新发展》的通知</w:t>
      </w:r>
    </w:p>
    <w:p>
      <w:pPr>
        <w:spacing w:line="420" w:lineRule="exact"/>
        <w:rPr>
          <w:rFonts w:ascii="仿宋" w:hAnsi="仿宋" w:eastAsia="仿宋"/>
          <w:sz w:val="28"/>
          <w:szCs w:val="28"/>
        </w:rPr>
      </w:pPr>
      <w:r>
        <w:rPr>
          <w:rFonts w:hint="eastAsia" w:ascii="仿宋" w:hAnsi="仿宋" w:eastAsia="仿宋"/>
          <w:sz w:val="28"/>
          <w:szCs w:val="28"/>
        </w:rPr>
        <w:t>各</w:t>
      </w:r>
      <w:r>
        <w:rPr>
          <w:rFonts w:hint="eastAsia" w:ascii="仿宋" w:hAnsi="仿宋" w:eastAsia="仿宋"/>
          <w:sz w:val="28"/>
          <w:szCs w:val="28"/>
          <w:lang w:val="en-US" w:eastAsia="zh-CN"/>
        </w:rPr>
        <w:t>会员</w:t>
      </w:r>
      <w:r>
        <w:rPr>
          <w:rFonts w:hint="eastAsia" w:ascii="仿宋" w:hAnsi="仿宋" w:eastAsia="仿宋"/>
          <w:sz w:val="28"/>
          <w:szCs w:val="28"/>
        </w:rPr>
        <w:t>单位：</w:t>
      </w:r>
    </w:p>
    <w:p>
      <w:pPr>
        <w:pStyle w:val="7"/>
        <w:spacing w:line="420" w:lineRule="exact"/>
        <w:ind w:firstLine="0" w:firstLineChars="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随着音频产品硬件综合素质的提升和高清流媒体音频内容的快速普及，用户对音质要求与日俱增，为了进一步推动音频产业发展，互通互联和商用落地，引导产品规范化和兼容性设计。现定于9月19日上午在北京召开《新技术、新应用、新发展》。</w:t>
      </w:r>
    </w:p>
    <w:p>
      <w:pPr>
        <w:pStyle w:val="7"/>
        <w:spacing w:line="420" w:lineRule="exact"/>
        <w:ind w:firstLine="0" w:firstLineChars="0"/>
        <w:rPr>
          <w:rFonts w:hint="eastAsia" w:ascii="仿宋" w:hAnsi="仿宋" w:eastAsia="仿宋"/>
          <w:sz w:val="28"/>
          <w:szCs w:val="28"/>
        </w:rPr>
      </w:pP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一、会议时间</w:t>
      </w: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9月19日 9:00-12:00</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会议主题：2023 GAS音频技术峰会——新技术、新应用、新发展</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1）领导致辞</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2）标准发布</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3）主题演讲</w:t>
      </w:r>
    </w:p>
    <w:p>
      <w:pPr>
        <w:spacing w:line="420" w:lineRule="exact"/>
        <w:rPr>
          <w:rFonts w:hint="eastAsia" w:ascii="仿宋" w:hAnsi="仿宋" w:eastAsia="仿宋"/>
          <w:b w:val="0"/>
          <w:bCs/>
          <w:sz w:val="28"/>
          <w:szCs w:val="28"/>
        </w:rPr>
      </w:pP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二、会议地点</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北京，中国电子技术标准化研究院赛西实验室：北京市通州区同济南路8号</w:t>
      </w:r>
    </w:p>
    <w:p>
      <w:pPr>
        <w:spacing w:line="420" w:lineRule="exact"/>
        <w:rPr>
          <w:rFonts w:hint="eastAsia" w:ascii="仿宋" w:hAnsi="仿宋" w:eastAsia="仿宋"/>
          <w:b w:val="0"/>
          <w:bCs/>
          <w:sz w:val="28"/>
          <w:szCs w:val="28"/>
        </w:rPr>
      </w:pP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三、回执时间</w:t>
      </w:r>
      <w:bookmarkStart w:id="0" w:name="_GoBack"/>
      <w:bookmarkEnd w:id="0"/>
    </w:p>
    <w:p>
      <w:pPr>
        <w:spacing w:line="420" w:lineRule="exact"/>
        <w:rPr>
          <w:rFonts w:hint="eastAsia" w:ascii="仿宋" w:hAnsi="仿宋" w:eastAsia="仿宋"/>
          <w:b w:val="0"/>
          <w:bCs/>
          <w:sz w:val="28"/>
          <w:szCs w:val="28"/>
        </w:rPr>
      </w:pPr>
      <w:r>
        <w:rPr>
          <w:rFonts w:hint="eastAsia" w:ascii="仿宋" w:hAnsi="仿宋" w:eastAsia="仿宋"/>
          <w:b w:val="0"/>
          <w:bCs/>
          <w:sz w:val="28"/>
          <w:szCs w:val="28"/>
        </w:rPr>
        <w:t>请于</w:t>
      </w:r>
      <w:r>
        <w:rPr>
          <w:rFonts w:hint="eastAsia" w:ascii="仿宋" w:hAnsi="仿宋" w:eastAsia="仿宋"/>
          <w:b w:val="0"/>
          <w:bCs/>
          <w:sz w:val="28"/>
          <w:szCs w:val="28"/>
          <w:highlight w:val="yellow"/>
        </w:rPr>
        <w:t>9月15日</w:t>
      </w:r>
      <w:r>
        <w:rPr>
          <w:rFonts w:hint="eastAsia" w:ascii="仿宋" w:hAnsi="仿宋" w:eastAsia="仿宋"/>
          <w:b w:val="0"/>
          <w:bCs/>
          <w:sz w:val="28"/>
          <w:szCs w:val="28"/>
        </w:rPr>
        <w:t>前填妥回执，发送至协会邮箱。</w:t>
      </w:r>
    </w:p>
    <w:p>
      <w:pPr>
        <w:spacing w:line="420" w:lineRule="exact"/>
        <w:rPr>
          <w:rFonts w:hint="eastAsia" w:ascii="仿宋" w:hAnsi="仿宋" w:eastAsia="仿宋"/>
          <w:b w:val="0"/>
          <w:bCs/>
          <w:sz w:val="28"/>
          <w:szCs w:val="28"/>
        </w:rPr>
      </w:pP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四、联系方式</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协会联系人：赵正清      电话：021-50803802</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邮箱：</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zhaozhengqing@caianet.org.cn</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 xml:space="preserve"> </w:t>
      </w:r>
    </w:p>
    <w:p>
      <w:pPr>
        <w:spacing w:line="420" w:lineRule="exact"/>
        <w:jc w:val="right"/>
        <w:rPr>
          <w:rFonts w:hint="eastAsia" w:ascii="仿宋" w:hAnsi="仿宋" w:eastAsia="仿宋"/>
          <w:b w:val="0"/>
          <w:bCs/>
          <w:sz w:val="28"/>
          <w:szCs w:val="28"/>
        </w:rPr>
      </w:pPr>
      <w:r>
        <w:rPr>
          <w:rFonts w:hint="eastAsia" w:ascii="仿宋" w:hAnsi="仿宋" w:eastAsia="仿宋"/>
          <w:b w:val="0"/>
          <w:bCs/>
          <w:sz w:val="28"/>
          <w:szCs w:val="28"/>
        </w:rPr>
        <w:t>中国电子音响行业协会</w:t>
      </w:r>
    </w:p>
    <w:p>
      <w:pPr>
        <w:spacing w:line="420" w:lineRule="exact"/>
        <w:jc w:val="right"/>
        <w:rPr>
          <w:rFonts w:ascii="仿宋" w:hAnsi="仿宋" w:eastAsia="仿宋"/>
          <w:b/>
          <w:sz w:val="28"/>
          <w:szCs w:val="28"/>
        </w:rPr>
      </w:pPr>
      <w:r>
        <w:rPr>
          <w:rFonts w:hint="eastAsia" w:ascii="仿宋" w:hAnsi="仿宋" w:eastAsia="仿宋"/>
          <w:b w:val="0"/>
          <w:bCs/>
          <w:sz w:val="28"/>
          <w:szCs w:val="28"/>
        </w:rPr>
        <w:t>2023年9月5日</w:t>
      </w:r>
    </w:p>
    <w:p>
      <w:pPr>
        <w:spacing w:line="420" w:lineRule="exact"/>
        <w:rPr>
          <w:rFonts w:ascii="仿宋" w:hAnsi="仿宋" w:eastAsia="仿宋"/>
          <w:sz w:val="24"/>
        </w:rPr>
      </w:pPr>
      <w:r>
        <w:rPr>
          <w:rFonts w:hint="eastAsia" w:ascii="仿宋" w:hAnsi="仿宋" w:eastAsia="仿宋"/>
          <w:sz w:val="24"/>
        </w:rPr>
        <w:t>附件1：回执表</w:t>
      </w:r>
    </w:p>
    <w:p>
      <w:pPr>
        <w:pStyle w:val="2"/>
        <w:spacing w:line="420" w:lineRule="exact"/>
        <w:ind w:left="0" w:leftChars="0"/>
        <w:rPr>
          <w:rFonts w:ascii="仿宋" w:hAnsi="仿宋" w:eastAsia="仿宋"/>
          <w:b/>
          <w:sz w:val="24"/>
        </w:rPr>
      </w:pP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p>
    <w:p>
      <w:pPr>
        <w:rPr>
          <w:rFonts w:ascii="楷体" w:hAnsi="楷体" w:eastAsia="楷体" w:cs="仿宋"/>
          <w:sz w:val="24"/>
        </w:rPr>
      </w:pPr>
      <w:r>
        <w:rPr>
          <w:rFonts w:ascii="楷体" w:hAnsi="楷体" w:eastAsia="楷体" w:cs="仿宋"/>
          <w:sz w:val="24"/>
        </w:rPr>
        <w:br w:type="page"/>
      </w:r>
    </w:p>
    <w:p>
      <w:pPr>
        <w:rPr>
          <w:rFonts w:ascii="楷体" w:hAnsi="楷体" w:eastAsia="楷体" w:cs="仿宋"/>
          <w:sz w:val="24"/>
        </w:rPr>
      </w:pPr>
    </w:p>
    <w:p>
      <w:pPr>
        <w:spacing w:line="480" w:lineRule="auto"/>
        <w:rPr>
          <w:rFonts w:ascii="楷体" w:hAnsi="楷体" w:eastAsia="楷体" w:cs="仿宋"/>
          <w:sz w:val="24"/>
        </w:rPr>
      </w:pPr>
      <w:r>
        <w:rPr>
          <w:rFonts w:hint="eastAsia" w:ascii="楷体" w:hAnsi="楷体" w:eastAsia="楷体" w:cs="仿宋"/>
          <w:sz w:val="24"/>
        </w:rPr>
        <w:t>附件1</w:t>
      </w:r>
    </w:p>
    <w:p>
      <w:pPr>
        <w:pStyle w:val="2"/>
        <w:spacing w:line="400" w:lineRule="exact"/>
        <w:ind w:left="99" w:leftChars="47"/>
        <w:jc w:val="left"/>
        <w:rPr>
          <w:rFonts w:ascii="仿宋" w:hAnsi="仿宋" w:eastAsia="仿宋"/>
          <w:szCs w:val="28"/>
        </w:rPr>
      </w:pPr>
    </w:p>
    <w:p>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回        执</w:t>
      </w:r>
    </w:p>
    <w:tbl>
      <w:tblPr>
        <w:tblStyle w:val="4"/>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3085" w:type="dxa"/>
            <w:vAlign w:val="center"/>
          </w:tcPr>
          <w:p>
            <w:pPr>
              <w:spacing w:line="480" w:lineRule="exact"/>
              <w:jc w:val="center"/>
              <w:rPr>
                <w:rFonts w:ascii="仿宋" w:hAnsi="仿宋" w:eastAsia="仿宋" w:cs="仿宋"/>
                <w:b/>
                <w:bCs/>
                <w:sz w:val="24"/>
                <w:szCs w:val="24"/>
              </w:rPr>
            </w:pPr>
            <w:r>
              <w:rPr>
                <w:rFonts w:hint="eastAsia" w:ascii="仿宋" w:hAnsi="仿宋" w:eastAsia="仿宋" w:cs="仿宋"/>
                <w:b/>
                <w:bCs/>
                <w:sz w:val="24"/>
                <w:szCs w:val="24"/>
              </w:rPr>
              <w:t>单位名称</w:t>
            </w:r>
          </w:p>
        </w:tc>
        <w:tc>
          <w:tcPr>
            <w:tcW w:w="6107" w:type="dxa"/>
            <w:vAlign w:val="center"/>
          </w:tcPr>
          <w:p>
            <w:pPr>
              <w:spacing w:line="480" w:lineRule="exact"/>
              <w:rPr>
                <w:rFonts w:ascii="仿宋" w:hAnsi="仿宋" w:eastAsia="仿宋" w:cs="仿宋"/>
                <w:b/>
                <w:bCs/>
                <w:sz w:val="24"/>
                <w:szCs w:val="24"/>
              </w:rPr>
            </w:pPr>
          </w:p>
        </w:tc>
      </w:tr>
    </w:tbl>
    <w:tbl>
      <w:tblPr>
        <w:tblStyle w:val="8"/>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414"/>
        <w:gridCol w:w="1350"/>
        <w:gridCol w:w="1541"/>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szCs w:val="24"/>
              </w:rPr>
            </w:pPr>
            <w:r>
              <w:rPr>
                <w:rFonts w:hint="eastAsia" w:ascii="仿宋" w:hAnsi="仿宋" w:eastAsia="仿宋" w:cs="仿宋"/>
                <w:b/>
                <w:bCs/>
                <w:sz w:val="24"/>
                <w:szCs w:val="24"/>
              </w:rPr>
              <w:t>参会人姓名</w:t>
            </w:r>
          </w:p>
        </w:tc>
        <w:tc>
          <w:tcPr>
            <w:tcW w:w="2414" w:type="dxa"/>
            <w:tcBorders>
              <w:top w:val="single" w:color="auto" w:sz="4" w:space="0"/>
              <w:left w:val="single" w:color="auto" w:sz="4" w:space="0"/>
              <w:bottom w:val="single" w:color="auto" w:sz="4" w:space="0"/>
              <w:right w:val="single" w:color="auto" w:sz="4" w:space="0"/>
            </w:tcBorders>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身份证号</w:t>
            </w:r>
          </w:p>
        </w:tc>
        <w:tc>
          <w:tcPr>
            <w:tcW w:w="13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szCs w:val="24"/>
              </w:rPr>
            </w:pPr>
            <w:r>
              <w:rPr>
                <w:rFonts w:hint="eastAsia" w:ascii="仿宋" w:hAnsi="仿宋" w:eastAsia="仿宋" w:cs="仿宋"/>
                <w:b/>
                <w:bCs/>
                <w:sz w:val="24"/>
                <w:szCs w:val="24"/>
              </w:rPr>
              <w:t>职务</w:t>
            </w:r>
          </w:p>
        </w:tc>
        <w:tc>
          <w:tcPr>
            <w:tcW w:w="1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手机号</w:t>
            </w:r>
          </w:p>
        </w:tc>
        <w:tc>
          <w:tcPr>
            <w:tcW w:w="244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szCs w:val="24"/>
              </w:rPr>
            </w:pPr>
            <w:r>
              <w:rPr>
                <w:rFonts w:hint="eastAsia" w:ascii="仿宋" w:hAnsi="仿宋" w:eastAsia="仿宋" w:cs="仿宋"/>
                <w:b/>
                <w:bCs/>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4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244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4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244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4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s="仿宋"/>
                <w:b/>
                <w:bCs/>
                <w:sz w:val="24"/>
                <w:szCs w:val="24"/>
              </w:rPr>
            </w:pPr>
            <w:r>
              <w:rPr>
                <w:rFonts w:ascii="仿宋" w:hAnsi="仿宋" w:eastAsia="仿宋" w:cs="仿宋"/>
                <w:b/>
                <w:bCs/>
                <w:sz w:val="24"/>
                <w:szCs w:val="24"/>
              </w:rPr>
              <w:t>是否</w:t>
            </w:r>
          </w:p>
          <w:p>
            <w:pPr>
              <w:jc w:val="center"/>
              <w:rPr>
                <w:rFonts w:ascii="仿宋" w:hAnsi="仿宋" w:eastAsia="仿宋" w:cs="仿宋"/>
                <w:b/>
                <w:bCs/>
                <w:kern w:val="2"/>
                <w:sz w:val="24"/>
                <w:szCs w:val="24"/>
                <w:lang w:val="en-US" w:eastAsia="zh-CN" w:bidi="ar-SA"/>
              </w:rPr>
            </w:pPr>
            <w:r>
              <w:rPr>
                <w:rFonts w:ascii="仿宋" w:hAnsi="仿宋" w:eastAsia="仿宋" w:cs="仿宋"/>
                <w:b/>
                <w:bCs/>
                <w:sz w:val="24"/>
                <w:szCs w:val="24"/>
              </w:rPr>
              <w:t>开车前往</w:t>
            </w:r>
          </w:p>
        </w:tc>
        <w:tc>
          <w:tcPr>
            <w:tcW w:w="2414"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s="仿宋"/>
                <w:b/>
                <w:bCs/>
                <w:sz w:val="24"/>
                <w:szCs w:val="24"/>
              </w:rPr>
            </w:pPr>
            <w:r>
              <w:rPr>
                <w:rFonts w:hint="eastAsia" w:ascii="仿宋" w:hAnsi="仿宋" w:eastAsia="仿宋" w:cs="仿宋"/>
                <w:b/>
                <w:bCs/>
                <w:sz w:val="24"/>
                <w:szCs w:val="24"/>
              </w:rPr>
              <w:t xml:space="preserve">（ </w:t>
            </w:r>
            <w:r>
              <w:rPr>
                <w:rFonts w:ascii="仿宋" w:hAnsi="仿宋" w:eastAsia="仿宋" w:cs="仿宋"/>
                <w:b/>
                <w:bCs/>
                <w:sz w:val="24"/>
                <w:szCs w:val="24"/>
              </w:rPr>
              <w:t xml:space="preserve"> </w:t>
            </w:r>
            <w:r>
              <w:rPr>
                <w:rFonts w:hint="eastAsia" w:ascii="仿宋" w:hAnsi="仿宋" w:eastAsia="仿宋" w:cs="仿宋"/>
                <w:b/>
                <w:bCs/>
                <w:sz w:val="24"/>
                <w:szCs w:val="24"/>
              </w:rPr>
              <w:t>）</w:t>
            </w:r>
            <w:r>
              <w:rPr>
                <w:rFonts w:ascii="仿宋" w:hAnsi="仿宋" w:eastAsia="仿宋" w:cs="仿宋"/>
                <w:b/>
                <w:bCs/>
                <w:sz w:val="24"/>
                <w:szCs w:val="24"/>
              </w:rPr>
              <w:t>是</w:t>
            </w:r>
          </w:p>
          <w:p>
            <w:pPr>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（请填写车牌号）</w:t>
            </w:r>
          </w:p>
        </w:tc>
        <w:tc>
          <w:tcPr>
            <w:tcW w:w="1350" w:type="dxa"/>
            <w:tcBorders>
              <w:top w:val="single" w:color="auto" w:sz="4" w:space="0"/>
              <w:left w:val="single" w:color="auto" w:sz="4" w:space="0"/>
              <w:bottom w:val="single" w:color="auto" w:sz="4" w:space="0"/>
              <w:right w:val="single" w:color="auto" w:sz="4" w:space="0"/>
            </w:tcBorders>
            <w:vAlign w:val="top"/>
          </w:tcPr>
          <w:p>
            <w:pPr>
              <w:jc w:val="center"/>
              <w:rPr>
                <w:rFonts w:cs="Times New Roman" w:asciiTheme="minorEastAsia" w:hAnsiTheme="minorEastAsia" w:eastAsiaTheme="minorEastAsia"/>
                <w:b/>
                <w:color w:val="000000" w:themeColor="text1"/>
                <w:kern w:val="2"/>
                <w:sz w:val="24"/>
                <w:szCs w:val="24"/>
                <w:lang w:val="en-US" w:eastAsia="zh-CN" w:bidi="ar-SA"/>
                <w14:textFill>
                  <w14:solidFill>
                    <w14:schemeClr w14:val="tx1"/>
                  </w14:solidFill>
                </w14:textFill>
              </w:rPr>
            </w:pPr>
          </w:p>
        </w:tc>
        <w:tc>
          <w:tcPr>
            <w:tcW w:w="3982" w:type="dxa"/>
            <w:gridSpan w:val="2"/>
            <w:tcBorders>
              <w:top w:val="single" w:color="auto" w:sz="4" w:space="0"/>
              <w:left w:val="single" w:color="auto" w:sz="4" w:space="0"/>
              <w:bottom w:val="single" w:color="auto" w:sz="4" w:space="0"/>
              <w:right w:val="single" w:color="auto" w:sz="4" w:space="0"/>
            </w:tcBorders>
            <w:vAlign w:val="top"/>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 xml:space="preserve">（ </w:t>
            </w:r>
            <w:r>
              <w:rPr>
                <w:rFonts w:asciiTheme="minorEastAsia" w:hAnsiTheme="minorEastAsia" w:eastAsia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b/>
                <w:color w:val="000000" w:themeColor="text1"/>
                <w:sz w:val="24"/>
                <w:szCs w:val="24"/>
                <w14:textFill>
                  <w14:solidFill>
                    <w14:schemeClr w14:val="tx1"/>
                  </w14:solidFill>
                </w14:textFill>
              </w:rPr>
              <w:t>）否</w:t>
            </w:r>
          </w:p>
        </w:tc>
      </w:tr>
    </w:tbl>
    <w:tbl>
      <w:tblPr>
        <w:tblStyle w:val="4"/>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1446" w:type="dxa"/>
            <w:vAlign w:val="center"/>
          </w:tcPr>
          <w:p>
            <w:pPr>
              <w:spacing w:line="480" w:lineRule="exact"/>
              <w:jc w:val="center"/>
              <w:rPr>
                <w:rFonts w:ascii="仿宋" w:hAnsi="仿宋" w:eastAsia="仿宋" w:cs="仿宋"/>
                <w:b/>
                <w:bCs/>
                <w:sz w:val="24"/>
                <w:szCs w:val="24"/>
              </w:rPr>
            </w:pPr>
            <w:r>
              <w:rPr>
                <w:rFonts w:hint="eastAsia" w:ascii="仿宋" w:hAnsi="仿宋" w:eastAsia="仿宋" w:cs="仿宋"/>
                <w:b/>
                <w:bCs/>
                <w:sz w:val="24"/>
                <w:szCs w:val="24"/>
              </w:rPr>
              <w:t>备注</w:t>
            </w:r>
          </w:p>
        </w:tc>
        <w:tc>
          <w:tcPr>
            <w:tcW w:w="7759" w:type="dxa"/>
            <w:vAlign w:val="center"/>
          </w:tcPr>
          <w:p>
            <w:pPr>
              <w:spacing w:line="480" w:lineRule="exact"/>
              <w:jc w:val="left"/>
              <w:rPr>
                <w:rFonts w:ascii="仿宋" w:hAnsi="仿宋" w:eastAsia="仿宋" w:cs="仿宋"/>
                <w:b/>
                <w:bCs/>
                <w:sz w:val="24"/>
                <w:szCs w:val="24"/>
              </w:rPr>
            </w:pPr>
          </w:p>
        </w:tc>
      </w:tr>
    </w:tbl>
    <w:p>
      <w:pPr>
        <w:spacing w:line="480" w:lineRule="exact"/>
        <w:rPr>
          <w:rFonts w:ascii="仿宋" w:hAnsi="仿宋" w:eastAsia="仿宋" w:cs="仿宋"/>
          <w:b/>
          <w:bCs/>
          <w:sz w:val="28"/>
          <w:szCs w:val="28"/>
        </w:rPr>
      </w:pPr>
      <w:r>
        <w:rPr>
          <w:rFonts w:hint="eastAsia" w:ascii="仿宋" w:hAnsi="仿宋" w:eastAsia="仿宋" w:cs="仿宋"/>
          <w:b/>
          <w:bCs/>
          <w:sz w:val="28"/>
          <w:szCs w:val="28"/>
        </w:rPr>
        <w:t>填表人：                     联系电话：</w:t>
      </w:r>
    </w:p>
    <w:p>
      <w:pPr>
        <w:spacing w:line="480" w:lineRule="exact"/>
        <w:rPr>
          <w:rFonts w:hint="eastAsia" w:ascii="仿宋" w:hAnsi="仿宋" w:eastAsia="仿宋" w:cs="仿宋"/>
          <w:b/>
          <w:bCs/>
          <w:sz w:val="24"/>
        </w:rPr>
      </w:pPr>
      <w:r>
        <w:rPr>
          <w:rFonts w:hint="eastAsia" w:ascii="仿宋" w:hAnsi="仿宋" w:eastAsia="仿宋" w:cs="仿宋"/>
          <w:b/>
          <w:bCs/>
          <w:sz w:val="24"/>
        </w:rPr>
        <w:t>注：请于</w:t>
      </w:r>
      <w:r>
        <w:rPr>
          <w:rFonts w:hint="eastAsia" w:ascii="仿宋" w:hAnsi="仿宋" w:eastAsia="仿宋" w:cs="仿宋"/>
          <w:b/>
          <w:bCs/>
          <w:sz w:val="24"/>
          <w:highlight w:val="yellow"/>
          <w:lang w:val="en-US" w:eastAsia="zh-CN"/>
        </w:rPr>
        <w:t>9</w:t>
      </w:r>
      <w:r>
        <w:rPr>
          <w:rFonts w:hint="eastAsia" w:ascii="仿宋" w:hAnsi="仿宋" w:eastAsia="仿宋" w:cs="仿宋"/>
          <w:b/>
          <w:bCs/>
          <w:sz w:val="24"/>
          <w:highlight w:val="yellow"/>
        </w:rPr>
        <w:t>月</w:t>
      </w:r>
      <w:r>
        <w:rPr>
          <w:rFonts w:hint="eastAsia" w:ascii="仿宋" w:hAnsi="仿宋" w:eastAsia="仿宋" w:cs="仿宋"/>
          <w:b/>
          <w:bCs/>
          <w:sz w:val="24"/>
          <w:highlight w:val="yellow"/>
          <w:lang w:val="en-US" w:eastAsia="zh-CN"/>
        </w:rPr>
        <w:t>15</w:t>
      </w:r>
      <w:r>
        <w:rPr>
          <w:rFonts w:hint="eastAsia" w:ascii="仿宋" w:hAnsi="仿宋" w:eastAsia="仿宋" w:cs="仿宋"/>
          <w:b/>
          <w:bCs/>
          <w:sz w:val="24"/>
          <w:highlight w:val="yellow"/>
        </w:rPr>
        <w:t>日</w:t>
      </w:r>
      <w:r>
        <w:rPr>
          <w:rFonts w:hint="eastAsia" w:ascii="仿宋" w:hAnsi="仿宋" w:eastAsia="仿宋" w:cs="仿宋"/>
          <w:b/>
          <w:bCs/>
          <w:sz w:val="24"/>
        </w:rPr>
        <w:t>前填妥此回执，发邮件到协会联系人，便于会务安排。</w:t>
      </w:r>
    </w:p>
    <w:p>
      <w:pPr>
        <w:spacing w:line="480" w:lineRule="exact"/>
        <w:rPr>
          <w:rFonts w:hint="default" w:ascii="仿宋" w:hAnsi="仿宋" w:eastAsia="仿宋" w:cs="仿宋"/>
          <w:b/>
          <w:bCs/>
          <w:sz w:val="24"/>
          <w:lang w:val="en-US" w:eastAsia="zh-CN"/>
        </w:rPr>
      </w:pPr>
      <w:r>
        <w:rPr>
          <w:rFonts w:hint="eastAsia" w:ascii="仿宋" w:hAnsi="仿宋" w:eastAsia="仿宋" w:cs="仿宋"/>
          <w:b/>
          <w:bCs/>
          <w:sz w:val="24"/>
          <w:lang w:val="en-US" w:eastAsia="zh-CN"/>
        </w:rPr>
        <w:t>由于中国电子技术标准化研究院为保密单位，特需提供参会人员身份证号，敬请谅解！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WUxZTk3MjAyNTc3ZjMwMzY4MTg4NDUyODUwNTcifQ=="/>
  </w:docVars>
  <w:rsids>
    <w:rsidRoot w:val="13E542F2"/>
    <w:rsid w:val="0BF928B1"/>
    <w:rsid w:val="0C684A5B"/>
    <w:rsid w:val="13E542F2"/>
    <w:rsid w:val="1E7551FA"/>
    <w:rsid w:val="353A0479"/>
    <w:rsid w:val="7A3F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losing"/>
    <w:basedOn w:val="1"/>
    <w:semiHidden/>
    <w:qFormat/>
    <w:uiPriority w:val="0"/>
    <w:pPr>
      <w:ind w:left="100" w:leftChars="2100"/>
    </w:pPr>
    <w:rPr>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table" w:customStyle="1" w:styleId="8">
    <w:name w:val="网格型1"/>
    <w:basedOn w:val="4"/>
    <w:qFormat/>
    <w:uiPriority w:val="3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2023-09-05T06:42:00Z</dcterms:created>
  <dc:creator>Scarlett</dc:creator>
  <cp:lastModifiedBy>Scarlett</cp:lastModifiedBy>
  <cp:lastPrinted>2023-09-05T07:06:00Z</cp:lastPrinted>
  <dcterms:modified xsi:type="dcterms:W3CDTF">2023-09-11T01:55:15Z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13B536C2E11A46158381596C3322BBCD_11</vt:lpwstr>
  </property>
</Properties>
</file>